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1EFA1">
      <w:pPr>
        <w:jc w:val="center"/>
        <w:rPr>
          <w:b/>
          <w:bCs/>
        </w:rPr>
      </w:pPr>
      <w:r>
        <w:rPr>
          <w:rFonts w:hint="eastAsia"/>
          <w:b/>
          <w:sz w:val="32"/>
        </w:rPr>
        <w:t>缓考考生操作流程</w:t>
      </w:r>
    </w:p>
    <w:p w14:paraId="7016F5DA">
      <w:r>
        <w:rPr>
          <w:rFonts w:hint="eastAsia"/>
        </w:rPr>
        <w:t>1. 考试时打开考试软件，点击机构账号登录，输入学号及密码。（密码与学生学习课程所用的密码相同）</w:t>
      </w:r>
    </w:p>
    <w:p w14:paraId="6F9D07B4">
      <w:r>
        <mc:AlternateContent>
          <mc:Choice Requires="wps">
            <w:drawing>
              <wp:anchor distT="0" distB="0" distL="114300" distR="114300" simplePos="0" relativeHeight="251659264" behindDoc="0" locked="0" layoutInCell="1" allowOverlap="1">
                <wp:simplePos x="0" y="0"/>
                <wp:positionH relativeFrom="column">
                  <wp:posOffset>751205</wp:posOffset>
                </wp:positionH>
                <wp:positionV relativeFrom="paragraph">
                  <wp:posOffset>978535</wp:posOffset>
                </wp:positionV>
                <wp:extent cx="1806575" cy="244475"/>
                <wp:effectExtent l="0" t="0" r="6985" b="14605"/>
                <wp:wrapNone/>
                <wp:docPr id="6" name="文本框 6"/>
                <wp:cNvGraphicFramePr/>
                <a:graphic xmlns:a="http://schemas.openxmlformats.org/drawingml/2006/main">
                  <a:graphicData uri="http://schemas.microsoft.com/office/word/2010/wordprocessingShape">
                    <wps:wsp>
                      <wps:cNvSpPr txBox="1"/>
                      <wps:spPr>
                        <a:xfrm>
                          <a:off x="1894205" y="3096895"/>
                          <a:ext cx="1806575" cy="2444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1EC06CD">
                            <w:pPr>
                              <w:rPr>
                                <w:sz w:val="16"/>
                                <w:szCs w:val="15"/>
                              </w:rPr>
                            </w:pPr>
                            <w:r>
                              <w:rPr>
                                <w:rFonts w:hint="eastAsia"/>
                                <w:sz w:val="16"/>
                                <w:szCs w:val="15"/>
                              </w:rPr>
                              <w:t>广东外语外贸大学南国商学院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9.15pt;margin-top:77.05pt;height:19.25pt;width:142.25pt;z-index:251659264;mso-width-relative:page;mso-height-relative:page;" fillcolor="#FFFFFF [3201]" filled="t" stroked="f" coordsize="21600,21600" o:gfxdata="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kmLpg1gAA&#10;AAsBAAAPAAAAAAAAAAEAIAAAACIAAABkcnMvZG93bnJldi54bWxQSwECFAAUAAAACACHTuJAS4kO&#10;1VkCAACbBAAADgAAAAAAAAABACAAAAAlAQAAZHJzL2Uyb0RvYy54bWxQSwUGAAAAAAYABgBZAQAA&#10;8AUAAAAA&#10;">
                <v:fill on="t" focussize="0,0"/>
                <v:stroke on="f" weight="0.5pt"/>
                <v:imagedata o:title=""/>
                <o:lock v:ext="edit" aspectratio="f"/>
                <v:textbox>
                  <w:txbxContent>
                    <w:p w14:paraId="11EC06CD">
                      <w:pPr>
                        <w:rPr>
                          <w:sz w:val="16"/>
                          <w:szCs w:val="15"/>
                        </w:rPr>
                      </w:pPr>
                      <w:r>
                        <w:rPr>
                          <w:rFonts w:hint="eastAsia"/>
                          <w:sz w:val="16"/>
                          <w:szCs w:val="15"/>
                        </w:rPr>
                        <w:t>广东外语外贸大学南国商学院</w:t>
                      </w:r>
                    </w:p>
                  </w:txbxContent>
                </v:textbox>
              </v:shape>
            </w:pict>
          </mc:Fallback>
        </mc:AlternateContent>
      </w:r>
      <w:r>
        <w:drawing>
          <wp:inline distT="0" distB="0" distL="114300" distR="114300">
            <wp:extent cx="5272405" cy="3354070"/>
            <wp:effectExtent l="9525" t="9525" r="21590" b="196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2405" cy="3354070"/>
                    </a:xfrm>
                    <a:prstGeom prst="rect">
                      <a:avLst/>
                    </a:prstGeom>
                    <a:noFill/>
                    <a:ln>
                      <a:solidFill>
                        <a:schemeClr val="bg1">
                          <a:lumMod val="85000"/>
                        </a:schemeClr>
                      </a:solidFill>
                    </a:ln>
                  </pic:spPr>
                </pic:pic>
              </a:graphicData>
            </a:graphic>
          </wp:inline>
        </w:drawing>
      </w:r>
      <w:bookmarkStart w:id="0" w:name="_GoBack"/>
      <w:bookmarkEnd w:id="0"/>
    </w:p>
    <w:p w14:paraId="4D45D34E">
      <w:pPr>
        <w:rPr>
          <w:color w:val="FF0000"/>
        </w:rPr>
      </w:pPr>
      <w:r>
        <w:rPr>
          <w:rFonts w:hint="eastAsia"/>
          <w:color w:val="FF0000"/>
        </w:rPr>
        <w:t>若账号未绑定手机号会弹出绑定手机号页面，若不绑定手机号可选择跳过。</w:t>
      </w:r>
    </w:p>
    <w:p w14:paraId="4E2402B3">
      <w:pPr>
        <w:rPr>
          <w:color w:val="FF0000"/>
        </w:rPr>
      </w:pPr>
      <w:r>
        <w:rPr>
          <w:rFonts w:hint="eastAsia"/>
          <w:color w:val="FF0000"/>
        </w:rPr>
        <w:t>如果忘记密码找老师进行重置</w:t>
      </w:r>
    </w:p>
    <w:p w14:paraId="5F48FF4B">
      <w:pPr>
        <w:jc w:val="center"/>
      </w:pPr>
      <w:r>
        <w:drawing>
          <wp:inline distT="0" distB="0" distL="114300" distR="114300">
            <wp:extent cx="4521200" cy="2894330"/>
            <wp:effectExtent l="9525" t="9525" r="10795" b="222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4521200" cy="2894330"/>
                    </a:xfrm>
                    <a:prstGeom prst="rect">
                      <a:avLst/>
                    </a:prstGeom>
                    <a:noFill/>
                    <a:ln>
                      <a:solidFill>
                        <a:schemeClr val="bg1">
                          <a:lumMod val="85000"/>
                        </a:schemeClr>
                      </a:solidFill>
                    </a:ln>
                  </pic:spPr>
                </pic:pic>
              </a:graphicData>
            </a:graphic>
          </wp:inline>
        </w:drawing>
      </w:r>
    </w:p>
    <w:p w14:paraId="34825F6C"/>
    <w:p w14:paraId="582B22BE">
      <w:r>
        <w:rPr>
          <w:rFonts w:hint="eastAsia"/>
        </w:rPr>
        <w:t>2.登录后，选择所要参加的试卷，点击开始考试</w:t>
      </w:r>
    </w:p>
    <w:p w14:paraId="490243CC">
      <w:r>
        <w:drawing>
          <wp:inline distT="0" distB="0" distL="114300" distR="114300">
            <wp:extent cx="5271135" cy="1891030"/>
            <wp:effectExtent l="9525" t="9525" r="22860" b="196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271135" cy="1891030"/>
                    </a:xfrm>
                    <a:prstGeom prst="rect">
                      <a:avLst/>
                    </a:prstGeom>
                    <a:noFill/>
                    <a:ln>
                      <a:solidFill>
                        <a:schemeClr val="bg1">
                          <a:lumMod val="85000"/>
                        </a:schemeClr>
                      </a:solidFill>
                    </a:ln>
                  </pic:spPr>
                </pic:pic>
              </a:graphicData>
            </a:graphic>
          </wp:inline>
        </w:drawing>
      </w:r>
    </w:p>
    <w:p w14:paraId="4628D6C8">
      <w:r>
        <w:rPr>
          <w:rFonts w:hint="eastAsia"/>
        </w:rPr>
        <w:drawing>
          <wp:inline distT="0" distB="0" distL="114300" distR="114300">
            <wp:extent cx="5267325" cy="2865755"/>
            <wp:effectExtent l="9525" t="9525" r="11430" b="203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267325" cy="2865755"/>
                    </a:xfrm>
                    <a:prstGeom prst="rect">
                      <a:avLst/>
                    </a:prstGeom>
                    <a:noFill/>
                    <a:ln>
                      <a:solidFill>
                        <a:schemeClr val="bg1">
                          <a:lumMod val="85000"/>
                        </a:schemeClr>
                      </a:solidFill>
                    </a:ln>
                  </pic:spPr>
                </pic:pic>
              </a:graphicData>
            </a:graphic>
          </wp:inline>
        </w:drawing>
      </w:r>
    </w:p>
    <w:p w14:paraId="2168811E">
      <w:r>
        <w:rPr>
          <w:rFonts w:hint="eastAsia"/>
        </w:rPr>
        <w:t>3.答题</w:t>
      </w:r>
    </w:p>
    <w:p w14:paraId="7480FBBD">
      <w:r>
        <w:rPr>
          <w:rFonts w:hint="eastAsia"/>
        </w:rPr>
        <w:t>右上方显示考试限时及倒计时，请在限时之内完成并提交，否则系统将自动提交答卷。</w:t>
      </w:r>
    </w:p>
    <w:p w14:paraId="1AB592E2">
      <w:pPr>
        <w:jc w:val="center"/>
      </w:pPr>
      <w:r>
        <w:drawing>
          <wp:inline distT="0" distB="0" distL="114300" distR="114300">
            <wp:extent cx="4342130" cy="2223770"/>
            <wp:effectExtent l="9525" t="9525" r="22225" b="22225"/>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8"/>
                    <a:stretch>
                      <a:fillRect/>
                    </a:stretch>
                  </pic:blipFill>
                  <pic:spPr>
                    <a:xfrm>
                      <a:off x="0" y="0"/>
                      <a:ext cx="4342130" cy="2223770"/>
                    </a:xfrm>
                    <a:prstGeom prst="rect">
                      <a:avLst/>
                    </a:prstGeom>
                    <a:noFill/>
                    <a:ln>
                      <a:solidFill>
                        <a:schemeClr val="bg1">
                          <a:lumMod val="85000"/>
                        </a:schemeClr>
                      </a:solidFill>
                    </a:ln>
                  </pic:spPr>
                </pic:pic>
              </a:graphicData>
            </a:graphic>
          </wp:inline>
        </w:drawing>
      </w:r>
    </w:p>
    <w:p w14:paraId="4CB7445A">
      <w:r>
        <w:rPr>
          <w:rFonts w:hint="eastAsia"/>
        </w:rPr>
        <w:t>点击整卷浏览，右方会显示答题卡，以颜色显示题目状态。</w:t>
      </w:r>
    </w:p>
    <w:p w14:paraId="753E74FA">
      <w:r>
        <w:drawing>
          <wp:inline distT="0" distB="0" distL="114300" distR="114300">
            <wp:extent cx="5262880" cy="2487295"/>
            <wp:effectExtent l="9525" t="9525" r="15875" b="17780"/>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pic:cNvPicPr>
                      <a:picLocks noChangeAspect="1"/>
                    </pic:cNvPicPr>
                  </pic:nvPicPr>
                  <pic:blipFill>
                    <a:blip r:embed="rId9"/>
                    <a:stretch>
                      <a:fillRect/>
                    </a:stretch>
                  </pic:blipFill>
                  <pic:spPr>
                    <a:xfrm>
                      <a:off x="0" y="0"/>
                      <a:ext cx="5262880" cy="2487295"/>
                    </a:xfrm>
                    <a:prstGeom prst="rect">
                      <a:avLst/>
                    </a:prstGeom>
                    <a:noFill/>
                    <a:ln>
                      <a:solidFill>
                        <a:schemeClr val="bg1">
                          <a:lumMod val="85000"/>
                        </a:schemeClr>
                      </a:solidFill>
                    </a:ln>
                  </pic:spPr>
                </pic:pic>
              </a:graphicData>
            </a:graphic>
          </wp:inline>
        </w:drawing>
      </w:r>
    </w:p>
    <w:p w14:paraId="30E245F6">
      <w:r>
        <w:drawing>
          <wp:inline distT="0" distB="0" distL="114300" distR="114300">
            <wp:extent cx="5274310" cy="2128520"/>
            <wp:effectExtent l="9525" t="9525" r="19685" b="10795"/>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10"/>
                    <a:stretch>
                      <a:fillRect/>
                    </a:stretch>
                  </pic:blipFill>
                  <pic:spPr>
                    <a:xfrm>
                      <a:off x="0" y="0"/>
                      <a:ext cx="5274310" cy="2128520"/>
                    </a:xfrm>
                    <a:prstGeom prst="rect">
                      <a:avLst/>
                    </a:prstGeom>
                    <a:noFill/>
                    <a:ln>
                      <a:solidFill>
                        <a:schemeClr val="bg1">
                          <a:lumMod val="85000"/>
                        </a:schemeClr>
                      </a:solidFill>
                    </a:ln>
                  </pic:spPr>
                </pic:pic>
              </a:graphicData>
            </a:graphic>
          </wp:inline>
        </w:drawing>
      </w:r>
    </w:p>
    <w:p w14:paraId="5E8AB0DB">
      <w:r>
        <w:rPr>
          <w:rFonts w:hint="eastAsia"/>
        </w:rPr>
        <w:t>4.提交试卷</w:t>
      </w:r>
    </w:p>
    <w:p w14:paraId="70A98BF4">
      <w:r>
        <w:rPr>
          <w:rFonts w:hint="eastAsia"/>
        </w:rPr>
        <w:t>学生完成答题后，进入整卷预览页面点击右上角【交卷】即可。交卷以后可以根据老师针对考试的设置进行显示是否可以支持查看自己的得分。</w:t>
      </w:r>
    </w:p>
    <w:p w14:paraId="6FA98238">
      <w:r>
        <w:rPr>
          <w:rFonts w:hint="eastAsia"/>
          <w:color w:val="FF0000"/>
        </w:rPr>
        <w:t>若有其他问题请联系监考老师记录下学号、姓名、手机号码及具体的问题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BA5607"/>
    <w:rsid w:val="00283A98"/>
    <w:rsid w:val="00310051"/>
    <w:rsid w:val="00406C7C"/>
    <w:rsid w:val="00FA3995"/>
    <w:rsid w:val="116A264E"/>
    <w:rsid w:val="13522E4B"/>
    <w:rsid w:val="61BA5607"/>
    <w:rsid w:val="6B056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等线" w:asciiTheme="minorHAnsi" w:hAnsiTheme="minorHAnsi" w:cstheme="minorBidi"/>
      <w:kern w:val="2"/>
      <w:sz w:val="24"/>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rFonts w:eastAsia="等线"/>
      <w:kern w:val="2"/>
      <w:sz w:val="18"/>
      <w:szCs w:val="18"/>
    </w:rPr>
  </w:style>
  <w:style w:type="character" w:customStyle="1" w:styleId="7">
    <w:name w:val="页脚 字符"/>
    <w:basedOn w:val="5"/>
    <w:link w:val="2"/>
    <w:uiPriority w:val="0"/>
    <w:rPr>
      <w:rFonts w:eastAsia="等线"/>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301</Words>
  <Characters>305</Characters>
  <Lines>2</Lines>
  <Paragraphs>1</Paragraphs>
  <TotalTime>63</TotalTime>
  <ScaleCrop>false</ScaleCrop>
  <LinksUpToDate>false</LinksUpToDate>
  <CharactersWithSpaces>306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2021-11-15T08:37:00Z</dcterms:created>
  <dc:creator>陈陈陈</dc:creator>
  <cp:lastModifiedBy>落花雨</cp:lastModifiedBy>
  <dcterms:modified xsi:type="dcterms:W3CDTF">2025-12-01T06:16:04Z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3B31E70CE69644CBB0498FA1359913F1</vt:lpwstr>
  </property>
  <property fmtid="{D5CDD505-2E9C-101B-9397-08002B2CF9AE}" pid="4" name="KSOTemplateDocerSaveRecord">
    <vt:lpwstr>eyJoZGlkIjoiNzdhNGQzOTQxMDBlNzQxNjFlMDMwOTIyNjM4OTQwMWUiLCJ1c2VySWQiOiIzNjkyODEzODgifQ==</vt:lpwstr>
  </property>
</Properties>
</file>